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Приборы газовые сорбционные для обогрева и/или охлаждения с номинальной тепловой мощностью до 70 кВт</w:t>
      </w: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</w:p>
    <w:p w:rsidR="00D403F4" w:rsidRPr="0016205C" w:rsidRDefault="00D403F4" w:rsidP="00D403F4">
      <w:pPr>
        <w:ind w:right="260"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Часть</w:t>
      </w:r>
      <w:r w:rsidRPr="0016205C">
        <w:rPr>
          <w:b/>
          <w:sz w:val="24"/>
          <w:szCs w:val="24"/>
          <w:lang w:val="en-US"/>
        </w:rPr>
        <w:t xml:space="preserve"> 4</w:t>
      </w:r>
    </w:p>
    <w:p w:rsidR="00D403F4" w:rsidRPr="0016205C" w:rsidRDefault="00D403F4" w:rsidP="00D403F4">
      <w:pPr>
        <w:ind w:right="260" w:firstLine="0"/>
        <w:jc w:val="center"/>
        <w:rPr>
          <w:b/>
          <w:sz w:val="24"/>
          <w:szCs w:val="24"/>
          <w:lang w:val="en-US"/>
        </w:rPr>
      </w:pPr>
    </w:p>
    <w:p w:rsidR="00D403F4" w:rsidRPr="0016205C" w:rsidRDefault="00D403F4" w:rsidP="00D403F4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МЕТОДЫ</w:t>
      </w:r>
      <w:r w:rsidRPr="0016205C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ИСПЫТАНИЙ</w:t>
      </w:r>
    </w:p>
    <w:p w:rsidR="00D403F4" w:rsidRPr="0016205C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D403F4" w:rsidRPr="0016205C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D403F4" w:rsidRPr="0016205C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16205C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16205C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16205C">
        <w:rPr>
          <w:b/>
          <w:sz w:val="24"/>
          <w:szCs w:val="24"/>
          <w:lang w:val="en-US"/>
        </w:rPr>
        <w:t xml:space="preserve"> 12309-4</w:t>
      </w: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(EN 12309-4:2014 Gas-fired sorption appliances for heating and/or cooling with a net heat input not exceeding 70 kW - Part 4: Test methods,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Настоящий проект стандарта</w:t>
      </w: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Настоящий национальный стандарт является идентичным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осуществлением европейского стандарта </w:t>
      </w:r>
      <w:r w:rsidR="00DD788C" w:rsidRPr="00DD788C">
        <w:rPr>
          <w:sz w:val="24"/>
          <w:szCs w:val="24"/>
        </w:rPr>
        <w:t>EN 12309-4:2014</w:t>
      </w:r>
      <w:r w:rsidRPr="00D403F4">
        <w:rPr>
          <w:sz w:val="24"/>
          <w:szCs w:val="24"/>
        </w:rPr>
        <w:t xml:space="preserve"> и принят с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D403F4">
        <w:rPr>
          <w:sz w:val="24"/>
          <w:szCs w:val="24"/>
        </w:rPr>
        <w:t>Марникс</w:t>
      </w:r>
      <w:proofErr w:type="spellEnd"/>
      <w:r w:rsidRPr="00D403F4">
        <w:rPr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D403F4" w:rsidRPr="00D403F4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D403F4">
        <w:rPr>
          <w:b/>
          <w:sz w:val="24"/>
          <w:szCs w:val="24"/>
          <w:lang w:val="kk-KZ"/>
        </w:rPr>
        <w:t>Нур-Султан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Pr="00D403F4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стандарт идентичен европейскому стандарту EN </w:t>
      </w:r>
      <w:r>
        <w:rPr>
          <w:sz w:val="24"/>
          <w:szCs w:val="24"/>
          <w:lang w:val="kk-KZ"/>
        </w:rPr>
        <w:t>12309-4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Gas-fired sorption appliances for heating and/or cooling with a net heat input not exceeding 70 kW - Part 4: Test methods (Приборы газовые сорбционные для обогрева и/или охлаждения с номинальной тепловой мощностью до 70 кВт. Часть 4. Методы испытаний).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Европейский стандарт EN </w:t>
      </w:r>
      <w:r>
        <w:rPr>
          <w:sz w:val="24"/>
          <w:szCs w:val="24"/>
          <w:lang w:val="kk-KZ"/>
        </w:rPr>
        <w:t>12309-4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разработан Техническим комитетом CEN/TC </w:t>
      </w:r>
      <w:r>
        <w:rPr>
          <w:sz w:val="24"/>
          <w:szCs w:val="24"/>
          <w:lang w:val="kk-KZ"/>
        </w:rPr>
        <w:t>299</w:t>
      </w:r>
      <w:r w:rsidRPr="00D403F4">
        <w:rPr>
          <w:sz w:val="24"/>
          <w:szCs w:val="24"/>
          <w:lang w:val="kk-KZ"/>
        </w:rPr>
        <w:t xml:space="preserve"> «Газовые сорбционные аппараты, косвенные сорбционные аппараты, газовые эндотермические тепловые насосы и бытовые газовые моечные и сушильные аппараты».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4 </w:t>
      </w:r>
      <w:r w:rsidRPr="00D403F4">
        <w:rPr>
          <w:sz w:val="24"/>
          <w:szCs w:val="24"/>
          <w:lang w:val="kk-KZ"/>
        </w:rPr>
        <w:t>В настоящем стандарте реализованы нормы Закона Республики Казахстан «О стандартизации» от 5 октября 2018 года № 183-VІ ЗРК.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bookmarkStart w:id="1" w:name="_GoBack"/>
      <w:bookmarkEnd w:id="1"/>
      <w:r w:rsidR="0051405B">
        <w:rPr>
          <w:bCs/>
          <w:i/>
          <w:sz w:val="24"/>
          <w:szCs w:val="24"/>
          <w:lang w:val="kk-KZ"/>
        </w:rPr>
        <w:t xml:space="preserve">периодически издаваемом информационном указателе </w:t>
      </w:r>
      <w:r w:rsidRPr="00D403F4">
        <w:rPr>
          <w:bCs/>
          <w:i/>
          <w:sz w:val="24"/>
          <w:szCs w:val="24"/>
          <w:lang w:val="kk-KZ"/>
        </w:rPr>
        <w:t>е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widowControl/>
        <w:autoSpaceDE/>
        <w:autoSpaceDN/>
        <w:adjustRightInd/>
        <w:ind w:firstLine="0"/>
        <w:jc w:val="left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D403F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0F48E8" w:rsidRPr="00DB58A9" w:rsidRDefault="00DB58A9" w:rsidP="00C367AA">
      <w:pP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DB58A9">
        <w:rPr>
          <w:b/>
          <w:sz w:val="24"/>
          <w:szCs w:val="24"/>
        </w:rPr>
        <w:lastRenderedPageBreak/>
        <w:t>Содержание</w:t>
      </w:r>
    </w:p>
    <w:p w:rsidR="00DB58A9" w:rsidRDefault="00DB58A9" w:rsidP="00C367AA">
      <w:pPr>
        <w:shd w:val="clear" w:color="auto" w:fill="FFFFFF"/>
        <w:ind w:firstLine="0"/>
        <w:jc w:val="center"/>
        <w:outlineLvl w:val="0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957"/>
      </w:tblGrid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Область применения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1.1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Область применения EN 12309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1.2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Область применения Части 4 EN 12309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Нормативные ссылки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Термины и определения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Методы испытаний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4.1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4.2</w:t>
            </w: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Основные принципы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4.3</w:t>
            </w: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Испытательные приборы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4.4</w:t>
            </w: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Погрешность измерений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4.5</w:t>
            </w: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Процедура испытания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B58A9" w:rsidTr="00DB58A9">
        <w:tc>
          <w:tcPr>
            <w:tcW w:w="675" w:type="dxa"/>
          </w:tcPr>
          <w:p w:rsid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4.6</w:t>
            </w:r>
          </w:p>
        </w:tc>
        <w:tc>
          <w:tcPr>
            <w:tcW w:w="7938" w:type="dxa"/>
          </w:tcPr>
          <w:p w:rsid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Методы испытания потребления электрической мощности в режиме отключенного термостата, в режиме ожидания и отключенном режиме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4.7</w:t>
            </w: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176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Результаты испытаний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A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>(обязательное)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pStyle w:val="Style8"/>
              <w:widowControl/>
            </w:pPr>
            <w:r w:rsidRPr="00DB58A9">
              <w:rPr>
                <w:rStyle w:val="FontStyle150"/>
                <w:rFonts w:ascii="Times New Roman" w:hAnsi="Times New Roman" w:cs="Times New Roman"/>
                <w:b w:val="0"/>
                <w:szCs w:val="28"/>
                <w:lang w:eastAsia="en-US"/>
              </w:rPr>
              <w:t xml:space="preserve">Приложение </w:t>
            </w:r>
            <w:r w:rsidRPr="00DB58A9">
              <w:rPr>
                <w:rStyle w:val="FontStyle150"/>
                <w:rFonts w:ascii="Times New Roman" w:hAnsi="Times New Roman" w:cs="Times New Roman"/>
                <w:b w:val="0"/>
                <w:szCs w:val="28"/>
                <w:lang w:val="en-US" w:eastAsia="en-US"/>
              </w:rPr>
              <w:t>B</w:t>
            </w:r>
            <w:r w:rsidRPr="00DB58A9">
              <w:rPr>
                <w:rStyle w:val="FontStyle150"/>
                <w:rFonts w:ascii="Times New Roman" w:hAnsi="Times New Roman" w:cs="Times New Roman"/>
                <w:b w:val="0"/>
                <w:szCs w:val="28"/>
                <w:lang w:eastAsia="en-US"/>
              </w:rPr>
              <w:t xml:space="preserve"> </w:t>
            </w:r>
            <w:r w:rsidRPr="00425FD9">
              <w:rPr>
                <w:rStyle w:val="FontStyle91"/>
                <w:rFonts w:ascii="Times New Roman" w:hAnsi="Times New Roman" w:cs="Times New Roman"/>
                <w:i/>
                <w:szCs w:val="28"/>
                <w:lang w:eastAsia="en-US"/>
              </w:rPr>
              <w:t>(обязательное)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C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D</w:t>
            </w:r>
            <w:r w:rsidRPr="00DB58A9">
              <w:rPr>
                <w:i/>
                <w:sz w:val="24"/>
                <w:szCs w:val="24"/>
              </w:rPr>
              <w:t xml:space="preserve"> 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E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F</w:t>
            </w:r>
            <w:r w:rsidRPr="00DB58A9">
              <w:rPr>
                <w:i/>
                <w:sz w:val="24"/>
                <w:szCs w:val="24"/>
              </w:rPr>
              <w:t xml:space="preserve"> 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G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 xml:space="preserve">(обязательное) 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H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ZA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ZB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Библиография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DB58A9" w:rsidTr="00DB58A9">
        <w:tc>
          <w:tcPr>
            <w:tcW w:w="675" w:type="dxa"/>
          </w:tcPr>
          <w:p w:rsidR="00DB58A9" w:rsidRPr="00DB58A9" w:rsidRDefault="00DB58A9" w:rsidP="00DB58A9">
            <w:pPr>
              <w:ind w:firstLine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DB58A9" w:rsidRPr="00DB58A9" w:rsidRDefault="00DB58A9" w:rsidP="00DB58A9">
            <w:pPr>
              <w:ind w:firstLine="0"/>
              <w:outlineLvl w:val="0"/>
              <w:rPr>
                <w:sz w:val="24"/>
                <w:szCs w:val="24"/>
              </w:rPr>
            </w:pPr>
            <w:r w:rsidRPr="00DB58A9">
              <w:rPr>
                <w:sz w:val="24"/>
                <w:szCs w:val="24"/>
              </w:rPr>
              <w:t>Приложение B.A</w:t>
            </w:r>
            <w:r>
              <w:rPr>
                <w:sz w:val="24"/>
                <w:szCs w:val="24"/>
              </w:rPr>
              <w:t xml:space="preserve"> </w:t>
            </w:r>
            <w:r w:rsidRPr="00DB58A9">
              <w:rPr>
                <w:i/>
                <w:sz w:val="24"/>
                <w:szCs w:val="24"/>
              </w:rPr>
              <w:t>(информационное)</w:t>
            </w:r>
          </w:p>
        </w:tc>
        <w:tc>
          <w:tcPr>
            <w:tcW w:w="957" w:type="dxa"/>
          </w:tcPr>
          <w:p w:rsidR="00DB58A9" w:rsidRDefault="00DB58A9" w:rsidP="00C367AA">
            <w:pPr>
              <w:ind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</w:tbl>
    <w:p w:rsidR="00DB58A9" w:rsidRPr="0016205C" w:rsidRDefault="00DB58A9" w:rsidP="00C367AA">
      <w:pPr>
        <w:shd w:val="clear" w:color="auto" w:fill="FFFFFF"/>
        <w:ind w:firstLine="0"/>
        <w:jc w:val="center"/>
        <w:outlineLvl w:val="0"/>
        <w:rPr>
          <w:sz w:val="24"/>
          <w:szCs w:val="24"/>
        </w:rPr>
      </w:pPr>
    </w:p>
    <w:sectPr w:rsidR="00DB58A9" w:rsidRPr="0016205C" w:rsidSect="00131596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BA8" w:rsidRDefault="009F1BA8" w:rsidP="00D403F4">
      <w:r>
        <w:separator/>
      </w:r>
    </w:p>
  </w:endnote>
  <w:endnote w:type="continuationSeparator" w:id="0">
    <w:p w:rsidR="009F1BA8" w:rsidRDefault="009F1BA8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367AA"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0390198"/>
      <w:docPartObj>
        <w:docPartGallery w:val="Page Numbers (Bottom of Page)"/>
        <w:docPartUnique/>
      </w:docPartObj>
    </w:sdtPr>
    <w:sdtEndPr/>
    <w:sdtContent>
      <w:p w:rsidR="00C367AA" w:rsidRPr="00131596" w:rsidRDefault="00131596" w:rsidP="0013159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05B">
          <w:rPr>
            <w:noProof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737322"/>
      <w:docPartObj>
        <w:docPartGallery w:val="Page Numbers (Bottom of Page)"/>
        <w:docPartUnique/>
      </w:docPartObj>
    </w:sdtPr>
    <w:sdtEndPr/>
    <w:sdtContent>
      <w:p w:rsidR="00D33D6A" w:rsidRPr="00131596" w:rsidRDefault="00131596" w:rsidP="0013159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05B">
          <w:rPr>
            <w:noProof/>
          </w:rPr>
          <w:t>II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BA8" w:rsidRDefault="009F1BA8" w:rsidP="00D403F4">
      <w:r>
        <w:separator/>
      </w:r>
    </w:p>
  </w:footnote>
  <w:footnote w:type="continuationSeparator" w:id="0">
    <w:p w:rsidR="009F1BA8" w:rsidRDefault="009F1BA8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6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 w:rsidRPr="0016205C">
      <w:rPr>
        <w:b/>
        <w:sz w:val="24"/>
      </w:rPr>
      <w:t xml:space="preserve"> EN 12309-4</w:t>
    </w:r>
  </w:p>
  <w:p w:rsidR="00D33D6A" w:rsidRPr="00131596" w:rsidRDefault="00C367AA" w:rsidP="00C367AA">
    <w:pPr>
      <w:pStyle w:val="a6"/>
      <w:jc w:val="right"/>
      <w:rPr>
        <w:i/>
        <w:sz w:val="24"/>
      </w:rPr>
    </w:pPr>
    <w:r w:rsidRPr="00131596"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9F1BA8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131596" w:rsidRDefault="00C367AA" w:rsidP="00C367AA">
    <w:pPr>
      <w:pStyle w:val="a6"/>
      <w:rPr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>EN 12309-4</w:t>
    </w:r>
  </w:p>
  <w:p w:rsidR="00D33D6A" w:rsidRPr="00131596" w:rsidRDefault="00C367AA" w:rsidP="00C367AA">
    <w:pPr>
      <w:pStyle w:val="a6"/>
      <w:rPr>
        <w:i/>
        <w:sz w:val="24"/>
      </w:rPr>
    </w:pPr>
    <w:r w:rsidRPr="00131596">
      <w:rPr>
        <w:i/>
        <w:sz w:val="24"/>
      </w:rPr>
      <w:t>(проект, редакция 1)</w:t>
    </w:r>
    <w:r w:rsidR="00F126AE" w:rsidRPr="00131596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F48E8"/>
    <w:rsid w:val="00131596"/>
    <w:rsid w:val="0016205C"/>
    <w:rsid w:val="004A4773"/>
    <w:rsid w:val="0051405B"/>
    <w:rsid w:val="005868CC"/>
    <w:rsid w:val="00986081"/>
    <w:rsid w:val="009C6A61"/>
    <w:rsid w:val="009F1BA8"/>
    <w:rsid w:val="00C367AA"/>
    <w:rsid w:val="00D403F4"/>
    <w:rsid w:val="00DB58A9"/>
    <w:rsid w:val="00DD788C"/>
    <w:rsid w:val="00E452C7"/>
    <w:rsid w:val="00F1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B5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0">
    <w:name w:val="Font Style150"/>
    <w:uiPriority w:val="99"/>
    <w:rsid w:val="00DB58A9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DB58A9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91">
    <w:name w:val="Font Style91"/>
    <w:uiPriority w:val="99"/>
    <w:rsid w:val="00DB58A9"/>
    <w:rPr>
      <w:rFonts w:ascii="Arial" w:hAnsi="Arial" w:cs="Arial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DB58A9"/>
    <w:pPr>
      <w:ind w:firstLine="0"/>
      <w:jc w:val="lef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B5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0">
    <w:name w:val="Font Style150"/>
    <w:uiPriority w:val="99"/>
    <w:rsid w:val="00DB58A9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DB58A9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91">
    <w:name w:val="Font Style91"/>
    <w:uiPriority w:val="99"/>
    <w:rsid w:val="00DB58A9"/>
    <w:rPr>
      <w:rFonts w:ascii="Arial" w:hAnsi="Arial" w:cs="Arial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DB58A9"/>
    <w:pPr>
      <w:ind w:firstLine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Айжан Танирбердина</cp:lastModifiedBy>
  <cp:revision>8</cp:revision>
  <dcterms:created xsi:type="dcterms:W3CDTF">2020-02-12T03:23:00Z</dcterms:created>
  <dcterms:modified xsi:type="dcterms:W3CDTF">2020-03-11T12:30:00Z</dcterms:modified>
</cp:coreProperties>
</file>